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866" w:rsidRPr="00C05866" w:rsidRDefault="00C05866" w:rsidP="00C05866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17"/>
      <w:r w:rsidRPr="00C05866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11. Автомобили-самопогрузчики. Тяжеловозы</w:t>
      </w:r>
      <w:bookmarkEnd w:id="0"/>
    </w:p>
    <w:p w:rsidR="00C05866" w:rsidRPr="00C05866" w:rsidRDefault="00C05866" w:rsidP="00C05866">
      <w:pPr>
        <w:spacing w:after="0" w:line="240" w:lineRule="auto"/>
        <w:ind w:firstLine="540"/>
        <w:jc w:val="both"/>
        <w:rPr>
          <w:rFonts w:eastAsia="Times New Roman"/>
          <w:b/>
          <w:lang w:eastAsia="ru-RU"/>
        </w:rPr>
      </w:pP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lang w:eastAsia="ru-RU"/>
        </w:rPr>
        <w:t>Оснащенные бортовыми гид</w:t>
      </w:r>
      <w:r w:rsidRPr="00C05866">
        <w:rPr>
          <w:rFonts w:eastAsia="Times New Roman"/>
          <w:lang w:eastAsia="ru-RU"/>
        </w:rPr>
        <w:softHyphen/>
        <w:t>равлическими манипуляторами, автомобили-самопогрузчики применяют для доставки контейнеров и пакетов со строительными грузами.</w:t>
      </w: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lang w:eastAsia="ru-RU"/>
        </w:rPr>
        <w:t xml:space="preserve">Бортовые манипуляторы осуществляют </w:t>
      </w:r>
      <w:proofErr w:type="spellStart"/>
      <w:r w:rsidRPr="00C05866">
        <w:rPr>
          <w:rFonts w:eastAsia="Times New Roman"/>
          <w:lang w:eastAsia="ru-RU"/>
        </w:rPr>
        <w:t>самопо</w:t>
      </w:r>
      <w:r w:rsidRPr="00C05866">
        <w:rPr>
          <w:rFonts w:eastAsia="Times New Roman"/>
          <w:lang w:eastAsia="ru-RU"/>
        </w:rPr>
        <w:softHyphen/>
        <w:t>грузку</w:t>
      </w:r>
      <w:proofErr w:type="spellEnd"/>
      <w:r w:rsidRPr="00C05866">
        <w:rPr>
          <w:rFonts w:eastAsia="Times New Roman"/>
          <w:lang w:eastAsia="ru-RU"/>
        </w:rPr>
        <w:t xml:space="preserve"> и саморазгрузку базового автомо</w:t>
      </w:r>
      <w:r w:rsidRPr="00C05866">
        <w:rPr>
          <w:rFonts w:eastAsia="Times New Roman"/>
          <w:lang w:eastAsia="ru-RU"/>
        </w:rPr>
        <w:softHyphen/>
        <w:t>биля и прицепа, погрузку – разгрузку других расположенных рядом транспортных средств, а также могут быть использованы на строительно-монтажных работах небольшого объема.</w:t>
      </w: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lang w:eastAsia="ru-RU"/>
        </w:rPr>
        <w:t>Манипулятор МКС-4531 грузоподъемностью 2,5 т базируется на автомобилях ЗИЛ-</w:t>
      </w:r>
      <w:proofErr w:type="gramStart"/>
      <w:r w:rsidRPr="00C05866">
        <w:rPr>
          <w:rFonts w:eastAsia="Times New Roman"/>
          <w:lang w:eastAsia="ru-RU"/>
        </w:rPr>
        <w:t>4331  или</w:t>
      </w:r>
      <w:proofErr w:type="gramEnd"/>
      <w:r w:rsidRPr="00C05866">
        <w:rPr>
          <w:rFonts w:eastAsia="Times New Roman"/>
          <w:lang w:eastAsia="ru-RU"/>
        </w:rPr>
        <w:t xml:space="preserve"> ЗИЛ-431410 и состоит (рис. 13) из поворотной колонки, шарнирно сочлененного стрелового обо</w:t>
      </w:r>
      <w:r w:rsidRPr="00C05866">
        <w:rPr>
          <w:rFonts w:eastAsia="Times New Roman"/>
          <w:lang w:eastAsia="ru-RU"/>
        </w:rPr>
        <w:softHyphen/>
        <w:t>рудования, двух выносных гидравлических опор 6, механизма поворота стрелы в плане, двух пультов управления 4 и комплекта сменного рабочего оборудования.</w:t>
      </w:r>
    </w:p>
    <w:p w:rsidR="00C05866" w:rsidRPr="00C05866" w:rsidRDefault="00C05866" w:rsidP="00C05866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C05866">
        <w:rPr>
          <w:rFonts w:eastAsia="Times New Roman"/>
          <w:noProof/>
          <w:lang w:eastAsia="ru-RU"/>
        </w:rPr>
        <w:drawing>
          <wp:inline distT="0" distB="0" distL="0" distR="0" wp14:anchorId="14D794E0" wp14:editId="2D770D59">
            <wp:extent cx="5486400" cy="2806700"/>
            <wp:effectExtent l="19050" t="0" r="0" b="0"/>
            <wp:docPr id="1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0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866" w:rsidRPr="00C05866" w:rsidRDefault="00C05866" w:rsidP="00C05866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C05866" w:rsidRPr="00C05866" w:rsidRDefault="00C05866" w:rsidP="00C05866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C05866">
        <w:rPr>
          <w:rFonts w:eastAsia="Times New Roman"/>
          <w:sz w:val="24"/>
          <w:szCs w:val="24"/>
          <w:lang w:eastAsia="ru-RU"/>
        </w:rPr>
        <w:t>Рис. 13. Автомобиль-самопогрузчик с бортовым манипулятором МКС-4513</w:t>
      </w:r>
    </w:p>
    <w:p w:rsidR="00C05866" w:rsidRPr="00C05866" w:rsidRDefault="00C05866" w:rsidP="00C05866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lang w:eastAsia="ru-RU"/>
        </w:rPr>
        <w:t>Стреловое оборудование смонтировано на поворотной колонке 10, установленной на опорной раме 5 шасси, и состоит из рукояти 11, рычага 13, телескопической стрелы 14 с основной 17 и вы</w:t>
      </w:r>
      <w:r w:rsidRPr="00C05866">
        <w:rPr>
          <w:rFonts w:eastAsia="Times New Roman"/>
          <w:lang w:eastAsia="ru-RU"/>
        </w:rPr>
        <w:softHyphen/>
        <w:t>движной 18 секциями, гидроцилиндров 12, 15 и 16 управления, крюковой подвески 19 или ротатора 20. Ротатор обеспечивает манипули</w:t>
      </w:r>
      <w:r w:rsidRPr="00C05866">
        <w:rPr>
          <w:rFonts w:eastAsia="Times New Roman"/>
          <w:lang w:eastAsia="ru-RU"/>
        </w:rPr>
        <w:softHyphen/>
        <w:t>рование грузом в горизонтальной плоскости через реечную передачу и гидроцилиндр 21 двусторонне</w:t>
      </w:r>
      <w:r w:rsidRPr="00C05866">
        <w:rPr>
          <w:rFonts w:eastAsia="Times New Roman"/>
          <w:lang w:eastAsia="ru-RU"/>
        </w:rPr>
        <w:softHyphen/>
        <w:t xml:space="preserve">го действия, штоком которого является рейка 22 ротатора, входящая в зацепление с шестерней 23. </w:t>
      </w: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lang w:eastAsia="ru-RU"/>
        </w:rPr>
        <w:t>В комплект сменного рабочего оборудования манипулятора входят удлинитель стрелы, выдви</w:t>
      </w:r>
      <w:r w:rsidRPr="00C05866">
        <w:rPr>
          <w:rFonts w:eastAsia="Times New Roman"/>
          <w:lang w:eastAsia="ru-RU"/>
        </w:rPr>
        <w:softHyphen/>
        <w:t xml:space="preserve">гаемый вручную, вилочный подхват, клещевой захват для пакетированных грузов и захват для контейнеров. Поворот стрелового оборудования в плане на </w:t>
      </w:r>
      <w:proofErr w:type="gramStart"/>
      <w:r w:rsidRPr="00C05866">
        <w:rPr>
          <w:rFonts w:eastAsia="Times New Roman"/>
          <w:lang w:eastAsia="ru-RU"/>
        </w:rPr>
        <w:t>угол  400</w:t>
      </w:r>
      <w:proofErr w:type="gramEnd"/>
      <w:r w:rsidRPr="00C05866">
        <w:rPr>
          <w:rFonts w:eastAsia="Times New Roman"/>
          <w:lang w:eastAsia="ru-RU"/>
        </w:rPr>
        <w:t xml:space="preserve">° обеспечивается реечным поворотным механизмом, включающим два попеременно работающих </w:t>
      </w:r>
      <w:r w:rsidRPr="00C05866">
        <w:rPr>
          <w:rFonts w:eastAsia="Times New Roman"/>
          <w:lang w:eastAsia="ru-RU"/>
        </w:rPr>
        <w:lastRenderedPageBreak/>
        <w:t>гидроцилиндра, рейку 7 и шестерню 8, жестко закрепленную на валу 9 поворотной колонки. Привод аксиально-поршневого насоса 3 гидросистемы манипулятора осуществляется от двигателя 1 автомобиля через коробку отбора мощности 2. Управление манипу</w:t>
      </w:r>
      <w:r w:rsidRPr="00C05866">
        <w:rPr>
          <w:rFonts w:eastAsia="Times New Roman"/>
          <w:lang w:eastAsia="ru-RU"/>
        </w:rPr>
        <w:softHyphen/>
        <w:t>лятором может осуществляться с любого из двух пультов управления 4, расположенных по обеим сторонам автомобиля.</w:t>
      </w: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lang w:eastAsia="ru-RU"/>
        </w:rPr>
        <w:t>Конструкции отечественных бортовых манипу</w:t>
      </w:r>
      <w:r w:rsidRPr="00C05866">
        <w:rPr>
          <w:rFonts w:eastAsia="Times New Roman"/>
          <w:lang w:eastAsia="ru-RU"/>
        </w:rPr>
        <w:softHyphen/>
        <w:t>ляторов выполнены по единой принципиальной схеме и различаются между собой грузовым моментом, грузоподъемностью, высотой подъема и опускания крюка, массой, габаритными размерами. Компоновочные схемы размещения бортовых манипуляторов на автотранспортных средствах показаны на рис. 14.</w:t>
      </w:r>
    </w:p>
    <w:p w:rsidR="00C05866" w:rsidRPr="00C05866" w:rsidRDefault="00C05866" w:rsidP="00C05866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C05866">
        <w:rPr>
          <w:rFonts w:eastAsia="Times New Roman"/>
          <w:noProof/>
          <w:lang w:eastAsia="ru-RU"/>
        </w:rPr>
        <w:drawing>
          <wp:inline distT="0" distB="0" distL="0" distR="0" wp14:anchorId="4B47DD1B" wp14:editId="1EFA437B">
            <wp:extent cx="5932805" cy="2722245"/>
            <wp:effectExtent l="19050" t="0" r="0" b="0"/>
            <wp:docPr id="2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72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866" w:rsidRPr="00C05866" w:rsidRDefault="00C05866" w:rsidP="00C05866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C05866" w:rsidRPr="00C05866" w:rsidRDefault="00C05866" w:rsidP="00C05866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C05866">
        <w:rPr>
          <w:rFonts w:eastAsia="Times New Roman"/>
          <w:sz w:val="24"/>
          <w:szCs w:val="24"/>
          <w:lang w:eastAsia="ru-RU"/>
        </w:rPr>
        <w:t xml:space="preserve">Рис. 14. Основные конструктивные компоновочные схемы размещения </w:t>
      </w:r>
    </w:p>
    <w:p w:rsidR="00C05866" w:rsidRPr="00C05866" w:rsidRDefault="00C05866" w:rsidP="00C05866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proofErr w:type="gramStart"/>
      <w:r w:rsidRPr="00C05866">
        <w:rPr>
          <w:rFonts w:eastAsia="Times New Roman"/>
          <w:sz w:val="24"/>
          <w:szCs w:val="24"/>
          <w:lang w:eastAsia="ru-RU"/>
        </w:rPr>
        <w:t>бортовых</w:t>
      </w:r>
      <w:proofErr w:type="gramEnd"/>
      <w:r w:rsidRPr="00C05866">
        <w:rPr>
          <w:rFonts w:eastAsia="Times New Roman"/>
          <w:sz w:val="24"/>
          <w:szCs w:val="24"/>
          <w:lang w:eastAsia="ru-RU"/>
        </w:rPr>
        <w:t xml:space="preserve"> манипуляторов на автотранспортных средствах:</w:t>
      </w:r>
    </w:p>
    <w:p w:rsidR="00C05866" w:rsidRPr="00C05866" w:rsidRDefault="00C05866" w:rsidP="00C05866">
      <w:pPr>
        <w:spacing w:after="0" w:line="240" w:lineRule="auto"/>
        <w:ind w:firstLine="567"/>
        <w:rPr>
          <w:rFonts w:eastAsia="Times New Roman"/>
          <w:sz w:val="24"/>
          <w:szCs w:val="24"/>
          <w:lang w:eastAsia="ru-RU"/>
        </w:rPr>
      </w:pPr>
      <w:proofErr w:type="gramStart"/>
      <w:r w:rsidRPr="00C05866">
        <w:rPr>
          <w:rFonts w:eastAsia="Times New Roman"/>
          <w:sz w:val="24"/>
          <w:szCs w:val="24"/>
          <w:lang w:eastAsia="ru-RU"/>
        </w:rPr>
        <w:t>а</w:t>
      </w:r>
      <w:proofErr w:type="gramEnd"/>
      <w:r w:rsidRPr="00C05866">
        <w:rPr>
          <w:rFonts w:eastAsia="Times New Roman"/>
          <w:sz w:val="24"/>
          <w:szCs w:val="24"/>
          <w:lang w:eastAsia="ru-RU"/>
        </w:rPr>
        <w:t xml:space="preserve"> - на шасси грузового автомобиля между кабиной и грузовой платформой; </w:t>
      </w:r>
    </w:p>
    <w:p w:rsidR="00C05866" w:rsidRPr="00C05866" w:rsidRDefault="00C05866" w:rsidP="00C05866">
      <w:pPr>
        <w:spacing w:after="0" w:line="240" w:lineRule="auto"/>
        <w:ind w:firstLine="567"/>
        <w:rPr>
          <w:rFonts w:eastAsia="Times New Roman"/>
          <w:sz w:val="24"/>
          <w:szCs w:val="24"/>
          <w:lang w:eastAsia="ru-RU"/>
        </w:rPr>
      </w:pPr>
      <w:proofErr w:type="gramStart"/>
      <w:r w:rsidRPr="00C05866">
        <w:rPr>
          <w:rFonts w:eastAsia="Times New Roman"/>
          <w:sz w:val="24"/>
          <w:szCs w:val="24"/>
          <w:lang w:eastAsia="ru-RU"/>
        </w:rPr>
        <w:t>б</w:t>
      </w:r>
      <w:proofErr w:type="gramEnd"/>
      <w:r w:rsidRPr="00C05866">
        <w:rPr>
          <w:rFonts w:eastAsia="Times New Roman"/>
          <w:sz w:val="24"/>
          <w:szCs w:val="24"/>
          <w:lang w:eastAsia="ru-RU"/>
        </w:rPr>
        <w:t xml:space="preserve"> - тоже, в средней части грузовой платформы; </w:t>
      </w:r>
    </w:p>
    <w:p w:rsidR="00C05866" w:rsidRPr="00C05866" w:rsidRDefault="00C05866" w:rsidP="00C05866">
      <w:pPr>
        <w:spacing w:after="0" w:line="240" w:lineRule="auto"/>
        <w:ind w:firstLine="567"/>
        <w:rPr>
          <w:rFonts w:eastAsia="Times New Roman"/>
          <w:sz w:val="24"/>
          <w:szCs w:val="24"/>
          <w:lang w:eastAsia="ru-RU"/>
        </w:rPr>
      </w:pPr>
      <w:proofErr w:type="gramStart"/>
      <w:r w:rsidRPr="00C05866">
        <w:rPr>
          <w:rFonts w:eastAsia="Times New Roman"/>
          <w:sz w:val="24"/>
          <w:szCs w:val="24"/>
          <w:lang w:eastAsia="ru-RU"/>
        </w:rPr>
        <w:t>в</w:t>
      </w:r>
      <w:proofErr w:type="gramEnd"/>
      <w:r w:rsidRPr="00C05866">
        <w:rPr>
          <w:rFonts w:eastAsia="Times New Roman"/>
          <w:sz w:val="24"/>
          <w:szCs w:val="24"/>
          <w:lang w:eastAsia="ru-RU"/>
        </w:rPr>
        <w:t xml:space="preserve"> - тоже, в задней части платформы; </w:t>
      </w:r>
    </w:p>
    <w:p w:rsidR="00C05866" w:rsidRPr="00C05866" w:rsidRDefault="00C05866" w:rsidP="00C05866">
      <w:pPr>
        <w:spacing w:after="0" w:line="240" w:lineRule="auto"/>
        <w:ind w:firstLine="567"/>
        <w:rPr>
          <w:rFonts w:eastAsia="Times New Roman"/>
          <w:sz w:val="24"/>
          <w:szCs w:val="24"/>
          <w:lang w:eastAsia="ru-RU"/>
        </w:rPr>
      </w:pPr>
      <w:proofErr w:type="gramStart"/>
      <w:r w:rsidRPr="00C05866">
        <w:rPr>
          <w:rFonts w:eastAsia="Times New Roman"/>
          <w:sz w:val="24"/>
          <w:szCs w:val="24"/>
          <w:lang w:eastAsia="ru-RU"/>
        </w:rPr>
        <w:t>г</w:t>
      </w:r>
      <w:proofErr w:type="gramEnd"/>
      <w:r w:rsidRPr="00C05866">
        <w:rPr>
          <w:rFonts w:eastAsia="Times New Roman"/>
          <w:sz w:val="24"/>
          <w:szCs w:val="24"/>
          <w:lang w:eastAsia="ru-RU"/>
        </w:rPr>
        <w:t xml:space="preserve"> - на седельном тягаче между кабиной и седельно-сцепным устройством;</w:t>
      </w:r>
    </w:p>
    <w:p w:rsidR="00C05866" w:rsidRPr="00C05866" w:rsidRDefault="00C05866" w:rsidP="00C05866">
      <w:pPr>
        <w:spacing w:after="0" w:line="240" w:lineRule="auto"/>
        <w:ind w:firstLine="567"/>
        <w:rPr>
          <w:rFonts w:eastAsia="Times New Roman"/>
          <w:sz w:val="24"/>
          <w:szCs w:val="24"/>
          <w:lang w:eastAsia="ru-RU"/>
        </w:rPr>
      </w:pPr>
      <w:proofErr w:type="gramStart"/>
      <w:r w:rsidRPr="00C05866">
        <w:rPr>
          <w:rFonts w:eastAsia="Times New Roman"/>
          <w:sz w:val="24"/>
          <w:szCs w:val="24"/>
          <w:lang w:eastAsia="ru-RU"/>
        </w:rPr>
        <w:t>д</w:t>
      </w:r>
      <w:proofErr w:type="gramEnd"/>
      <w:r w:rsidRPr="00C05866">
        <w:rPr>
          <w:rFonts w:eastAsia="Times New Roman"/>
          <w:sz w:val="24"/>
          <w:szCs w:val="24"/>
          <w:lang w:eastAsia="ru-RU"/>
        </w:rPr>
        <w:t xml:space="preserve"> - на шасси полуприцепа в средней части грузовой платформы; </w:t>
      </w:r>
    </w:p>
    <w:p w:rsidR="00C05866" w:rsidRPr="00C05866" w:rsidRDefault="00C05866" w:rsidP="00C05866">
      <w:pPr>
        <w:spacing w:after="0" w:line="240" w:lineRule="auto"/>
        <w:ind w:firstLine="567"/>
        <w:rPr>
          <w:rFonts w:eastAsia="Times New Roman"/>
          <w:sz w:val="24"/>
          <w:szCs w:val="24"/>
          <w:lang w:eastAsia="ru-RU"/>
        </w:rPr>
      </w:pPr>
      <w:proofErr w:type="gramStart"/>
      <w:r w:rsidRPr="00C05866">
        <w:rPr>
          <w:rFonts w:eastAsia="Times New Roman"/>
          <w:sz w:val="24"/>
          <w:szCs w:val="24"/>
          <w:lang w:eastAsia="ru-RU"/>
        </w:rPr>
        <w:t>е</w:t>
      </w:r>
      <w:proofErr w:type="gramEnd"/>
      <w:r w:rsidRPr="00C05866">
        <w:rPr>
          <w:rFonts w:eastAsia="Times New Roman"/>
          <w:sz w:val="24"/>
          <w:szCs w:val="24"/>
          <w:lang w:eastAsia="ru-RU"/>
        </w:rPr>
        <w:t xml:space="preserve"> - на шасси полуприцепа в задней части грузовой платформы; </w:t>
      </w:r>
    </w:p>
    <w:p w:rsidR="00C05866" w:rsidRPr="00C05866" w:rsidRDefault="00C05866" w:rsidP="00C05866">
      <w:pPr>
        <w:spacing w:after="0" w:line="240" w:lineRule="auto"/>
        <w:ind w:firstLine="567"/>
        <w:rPr>
          <w:rFonts w:eastAsia="Times New Roman"/>
          <w:sz w:val="24"/>
          <w:szCs w:val="24"/>
          <w:lang w:eastAsia="ru-RU"/>
        </w:rPr>
      </w:pPr>
      <w:proofErr w:type="gramStart"/>
      <w:r w:rsidRPr="00C05866">
        <w:rPr>
          <w:rFonts w:eastAsia="Times New Roman"/>
          <w:sz w:val="24"/>
          <w:szCs w:val="24"/>
          <w:lang w:eastAsia="ru-RU"/>
        </w:rPr>
        <w:t>ж</w:t>
      </w:r>
      <w:proofErr w:type="gramEnd"/>
      <w:r w:rsidRPr="00C05866">
        <w:rPr>
          <w:rFonts w:eastAsia="Times New Roman"/>
          <w:sz w:val="24"/>
          <w:szCs w:val="24"/>
          <w:lang w:eastAsia="ru-RU"/>
        </w:rPr>
        <w:t xml:space="preserve"> - на шасси полуприцепа в передней части грузовой платформы;</w:t>
      </w:r>
    </w:p>
    <w:p w:rsidR="00C05866" w:rsidRPr="00C05866" w:rsidRDefault="00C05866" w:rsidP="00C05866">
      <w:pPr>
        <w:spacing w:after="0" w:line="240" w:lineRule="auto"/>
        <w:ind w:firstLine="567"/>
        <w:rPr>
          <w:rFonts w:eastAsia="Times New Roman"/>
          <w:b/>
          <w:lang w:eastAsia="ru-RU"/>
        </w:rPr>
      </w:pP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b/>
          <w:lang w:eastAsia="ru-RU"/>
        </w:rPr>
        <w:t>Тяжеловозы</w:t>
      </w:r>
      <w:r w:rsidRPr="00C05866">
        <w:rPr>
          <w:rFonts w:eastAsia="Times New Roman"/>
          <w:lang w:eastAsia="ru-RU"/>
        </w:rPr>
        <w:t xml:space="preserve"> представляют собой многоко</w:t>
      </w:r>
      <w:r w:rsidRPr="00C05866">
        <w:rPr>
          <w:rFonts w:eastAsia="Times New Roman"/>
          <w:lang w:eastAsia="ru-RU"/>
        </w:rPr>
        <w:softHyphen/>
        <w:t>лесные низкорамные прицепы и полуприцепы платформенного типа и предназначены для перевозки тяжеловесных крупногабаритных и не</w:t>
      </w:r>
      <w:r w:rsidRPr="00C05866">
        <w:rPr>
          <w:rFonts w:eastAsia="Times New Roman"/>
          <w:lang w:eastAsia="ru-RU"/>
        </w:rPr>
        <w:softHyphen/>
        <w:t>делимых грузов, большегрузных контейнеров, строительных машин и технологического оборудования.</w:t>
      </w: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lang w:eastAsia="ru-RU"/>
        </w:rPr>
        <w:t>Полуприцепы-тяжеловозы выполняются двух- или трехосными, имеют грузоподъемность от 22 до 60 т и транспортируются седельными тягачами. Каждый полуприцеп-тяжеловоз (рис. 15, а) со</w:t>
      </w:r>
      <w:r w:rsidRPr="00C05866">
        <w:rPr>
          <w:rFonts w:eastAsia="Times New Roman"/>
          <w:lang w:eastAsia="ru-RU"/>
        </w:rPr>
        <w:softHyphen/>
        <w:t>стоит из следующих основных узлов: рамы 2, гидравлического опорного устройства 1, осей с колесами 3, подвески, двух откидных трапов 4 для загрузки самоходных машин, системы тормозов и электрооборудования.</w:t>
      </w: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lang w:eastAsia="ru-RU"/>
        </w:rPr>
        <w:lastRenderedPageBreak/>
        <w:t>Прицепы-тяжеловозы (рис. 15, б) имеют от 3 до 12 осей, грузоподъемность 40...300 т и обору</w:t>
      </w:r>
      <w:r w:rsidRPr="00C05866">
        <w:rPr>
          <w:rFonts w:eastAsia="Times New Roman"/>
          <w:lang w:eastAsia="ru-RU"/>
        </w:rPr>
        <w:softHyphen/>
        <w:t>дуются дышлом 5 для соединения прицепа с тягачом.</w:t>
      </w: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lang w:eastAsia="ru-RU"/>
        </w:rPr>
        <w:t>Для улучшения условий погрузки и выгрузки грузов тяжеловозы оборудуются лебедками с приводом от силовой установки базового тягача и гидравлическими опорами.</w:t>
      </w:r>
    </w:p>
    <w:p w:rsidR="00C05866" w:rsidRPr="00C05866" w:rsidRDefault="00C05866" w:rsidP="00C05866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C05866">
        <w:rPr>
          <w:rFonts w:eastAsia="Times New Roman"/>
          <w:noProof/>
          <w:lang w:eastAsia="ru-RU"/>
        </w:rPr>
        <w:drawing>
          <wp:inline distT="0" distB="0" distL="0" distR="0" wp14:anchorId="01FB8407" wp14:editId="2904B8D1">
            <wp:extent cx="5624830" cy="3455670"/>
            <wp:effectExtent l="19050" t="0" r="0" b="0"/>
            <wp:docPr id="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830" cy="34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866" w:rsidRPr="00C05866" w:rsidRDefault="00C05866" w:rsidP="00C05866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C05866" w:rsidRPr="00C05866" w:rsidRDefault="00C05866" w:rsidP="00C05866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C05866">
        <w:rPr>
          <w:rFonts w:eastAsia="Times New Roman"/>
          <w:sz w:val="24"/>
          <w:szCs w:val="24"/>
          <w:lang w:eastAsia="ru-RU"/>
        </w:rPr>
        <w:t>Рис. 15. Тяжеловозы:</w:t>
      </w:r>
    </w:p>
    <w:p w:rsidR="00C05866" w:rsidRPr="00C05866" w:rsidRDefault="00C05866" w:rsidP="00C05866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proofErr w:type="gramStart"/>
      <w:r w:rsidRPr="00C05866">
        <w:rPr>
          <w:rFonts w:eastAsia="Times New Roman"/>
          <w:sz w:val="24"/>
          <w:szCs w:val="24"/>
          <w:lang w:eastAsia="ru-RU"/>
        </w:rPr>
        <w:t>а</w:t>
      </w:r>
      <w:proofErr w:type="gramEnd"/>
      <w:r w:rsidRPr="00C05866">
        <w:rPr>
          <w:rFonts w:eastAsia="Times New Roman"/>
          <w:sz w:val="24"/>
          <w:szCs w:val="24"/>
          <w:lang w:eastAsia="ru-RU"/>
        </w:rPr>
        <w:t>-полуприцеп; б-прицеп</w:t>
      </w: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b/>
          <w:lang w:eastAsia="ru-RU"/>
        </w:rPr>
      </w:pP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C05866">
        <w:rPr>
          <w:rFonts w:eastAsia="Times New Roman"/>
          <w:b/>
          <w:lang w:eastAsia="ru-RU"/>
        </w:rPr>
        <w:t>Техническая производительность транспортных средств</w:t>
      </w:r>
      <w:r w:rsidRPr="00C05866">
        <w:rPr>
          <w:rFonts w:eastAsia="Times New Roman"/>
          <w:lang w:eastAsia="ru-RU"/>
        </w:rPr>
        <w:t xml:space="preserve"> (т/ч)</w:t>
      </w:r>
    </w:p>
    <w:p w:rsidR="00C05866" w:rsidRPr="00C05866" w:rsidRDefault="00C05866" w:rsidP="00C05866">
      <w:pPr>
        <w:spacing w:after="0" w:line="240" w:lineRule="auto"/>
        <w:ind w:firstLine="2835"/>
        <w:rPr>
          <w:rFonts w:eastAsia="Times New Roman"/>
          <w:lang w:eastAsia="ru-RU"/>
        </w:rPr>
      </w:pPr>
      <w:r w:rsidRPr="00C05866">
        <w:rPr>
          <w:rFonts w:eastAsia="Times New Roman"/>
          <w:noProof/>
          <w:position w:val="-28"/>
          <w:lang w:eastAsia="ru-RU"/>
        </w:rPr>
        <w:drawing>
          <wp:inline distT="0" distB="0" distL="0" distR="0" wp14:anchorId="3532ED37" wp14:editId="7DC325CD">
            <wp:extent cx="2583815" cy="425450"/>
            <wp:effectExtent l="0" t="0" r="6985" b="0"/>
            <wp:docPr id="4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815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05866">
        <w:rPr>
          <w:rFonts w:eastAsia="Times New Roman"/>
          <w:lang w:eastAsia="ru-RU"/>
        </w:rPr>
        <w:tab/>
      </w:r>
    </w:p>
    <w:p w:rsidR="00C05866" w:rsidRPr="00C05866" w:rsidRDefault="00C05866" w:rsidP="00C0586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C05866">
        <w:rPr>
          <w:rFonts w:eastAsia="Times New Roman"/>
          <w:lang w:eastAsia="ru-RU"/>
        </w:rPr>
        <w:t>где</w:t>
      </w:r>
      <w:proofErr w:type="gramEnd"/>
      <w:r w:rsidRPr="00C05866">
        <w:rPr>
          <w:rFonts w:eastAsia="Times New Roman"/>
          <w:lang w:eastAsia="ru-RU"/>
        </w:rPr>
        <w:t xml:space="preserve"> Q — грузоподъемность, т; </w:t>
      </w:r>
      <w:proofErr w:type="spellStart"/>
      <w:r w:rsidRPr="00C05866">
        <w:rPr>
          <w:rFonts w:eastAsia="Times New Roman"/>
          <w:lang w:eastAsia="ru-RU"/>
        </w:rPr>
        <w:t>k</w:t>
      </w:r>
      <w:r w:rsidRPr="00C05866">
        <w:rPr>
          <w:rFonts w:eastAsia="Times New Roman"/>
          <w:vertAlign w:val="subscript"/>
          <w:lang w:eastAsia="ru-RU"/>
        </w:rPr>
        <w:t>г</w:t>
      </w:r>
      <w:proofErr w:type="spellEnd"/>
      <w:r w:rsidRPr="00C05866">
        <w:rPr>
          <w:rFonts w:eastAsia="Times New Roman"/>
          <w:lang w:eastAsia="ru-RU"/>
        </w:rPr>
        <w:t xml:space="preserve"> — коэффициент использования по грузоподъемности; </w:t>
      </w:r>
      <w:proofErr w:type="spellStart"/>
      <w:r w:rsidRPr="00C05866">
        <w:rPr>
          <w:rFonts w:eastAsia="Times New Roman"/>
          <w:lang w:eastAsia="ru-RU"/>
        </w:rPr>
        <w:t>k</w:t>
      </w:r>
      <w:r w:rsidRPr="00C05866">
        <w:rPr>
          <w:rFonts w:eastAsia="Times New Roman"/>
          <w:vertAlign w:val="subscript"/>
          <w:lang w:eastAsia="ru-RU"/>
        </w:rPr>
        <w:t>пр</w:t>
      </w:r>
      <w:proofErr w:type="spellEnd"/>
      <w:r w:rsidRPr="00C05866">
        <w:rPr>
          <w:rFonts w:eastAsia="Times New Roman"/>
          <w:lang w:eastAsia="ru-RU"/>
        </w:rPr>
        <w:t xml:space="preserve"> — коэффициент использования по пробегу; </w:t>
      </w:r>
      <w:proofErr w:type="spellStart"/>
      <w:r w:rsidRPr="00C05866">
        <w:rPr>
          <w:rFonts w:eastAsia="Times New Roman"/>
          <w:lang w:eastAsia="ru-RU"/>
        </w:rPr>
        <w:t>k</w:t>
      </w:r>
      <w:r w:rsidRPr="00C05866">
        <w:rPr>
          <w:rFonts w:eastAsia="Times New Roman"/>
          <w:vertAlign w:val="subscript"/>
          <w:lang w:eastAsia="ru-RU"/>
        </w:rPr>
        <w:t>у</w:t>
      </w:r>
      <w:proofErr w:type="spellEnd"/>
      <w:r w:rsidRPr="00C05866">
        <w:rPr>
          <w:rFonts w:eastAsia="Times New Roman"/>
          <w:lang w:eastAsia="ru-RU"/>
        </w:rPr>
        <w:t xml:space="preserve"> — коэффициент, учитывающий затраты времени на разгон и торможение; l — дальность транспорти</w:t>
      </w:r>
      <w:r w:rsidRPr="00C05866">
        <w:rPr>
          <w:rFonts w:eastAsia="Times New Roman"/>
          <w:lang w:eastAsia="ru-RU"/>
        </w:rPr>
        <w:softHyphen/>
        <w:t xml:space="preserve">рования; v — скорость движения, км/ч; </w:t>
      </w:r>
      <w:proofErr w:type="spellStart"/>
      <w:r w:rsidRPr="00C05866">
        <w:rPr>
          <w:rFonts w:eastAsia="Times New Roman"/>
          <w:lang w:eastAsia="ru-RU"/>
        </w:rPr>
        <w:t>t</w:t>
      </w:r>
      <w:r w:rsidRPr="00C05866">
        <w:rPr>
          <w:rFonts w:eastAsia="Times New Roman"/>
          <w:vertAlign w:val="subscript"/>
          <w:lang w:eastAsia="ru-RU"/>
        </w:rPr>
        <w:t>з</w:t>
      </w:r>
      <w:proofErr w:type="spellEnd"/>
      <w:r w:rsidRPr="00C05866">
        <w:rPr>
          <w:rFonts w:eastAsia="Times New Roman"/>
          <w:lang w:eastAsia="ru-RU"/>
        </w:rPr>
        <w:t xml:space="preserve">, </w:t>
      </w:r>
      <w:proofErr w:type="spellStart"/>
      <w:r w:rsidRPr="00C05866">
        <w:rPr>
          <w:rFonts w:eastAsia="Times New Roman"/>
          <w:lang w:eastAsia="ru-RU"/>
        </w:rPr>
        <w:t>t</w:t>
      </w:r>
      <w:r w:rsidRPr="00C05866">
        <w:rPr>
          <w:rFonts w:eastAsia="Times New Roman"/>
          <w:vertAlign w:val="subscript"/>
          <w:lang w:eastAsia="ru-RU"/>
        </w:rPr>
        <w:t>p</w:t>
      </w:r>
      <w:proofErr w:type="spellEnd"/>
      <w:r w:rsidRPr="00C05866">
        <w:rPr>
          <w:rFonts w:eastAsia="Times New Roman"/>
          <w:lang w:eastAsia="ru-RU"/>
        </w:rPr>
        <w:t xml:space="preserve">, </w:t>
      </w:r>
      <w:proofErr w:type="spellStart"/>
      <w:r w:rsidRPr="00C05866">
        <w:rPr>
          <w:rFonts w:eastAsia="Times New Roman"/>
          <w:lang w:eastAsia="ru-RU"/>
        </w:rPr>
        <w:t>t</w:t>
      </w:r>
      <w:r w:rsidRPr="00C05866">
        <w:rPr>
          <w:rFonts w:eastAsia="Times New Roman"/>
          <w:vertAlign w:val="subscript"/>
          <w:lang w:eastAsia="ru-RU"/>
        </w:rPr>
        <w:t>м</w:t>
      </w:r>
      <w:proofErr w:type="spellEnd"/>
      <w:r w:rsidRPr="00C05866">
        <w:rPr>
          <w:rFonts w:eastAsia="Times New Roman"/>
          <w:lang w:eastAsia="ru-RU"/>
        </w:rPr>
        <w:t xml:space="preserve"> — соответственно время загрузки, разгрузки и ма</w:t>
      </w:r>
      <w:r w:rsidRPr="00C05866">
        <w:rPr>
          <w:rFonts w:eastAsia="Times New Roman"/>
          <w:lang w:eastAsia="ru-RU"/>
        </w:rPr>
        <w:softHyphen/>
        <w:t>неврирования, с.</w:t>
      </w:r>
    </w:p>
    <w:p w:rsidR="00C05866" w:rsidRPr="00C05866" w:rsidRDefault="00C05866" w:rsidP="00C05866">
      <w:pPr>
        <w:spacing w:after="0" w:line="240" w:lineRule="auto"/>
        <w:ind w:firstLine="567"/>
        <w:rPr>
          <w:rFonts w:eastAsia="Times New Roman"/>
          <w:b/>
          <w:lang w:eastAsia="ru-RU"/>
        </w:rPr>
      </w:pPr>
    </w:p>
    <w:p w:rsidR="001F7B25" w:rsidRDefault="00C05866" w:rsidP="00C05866">
      <w:r w:rsidRPr="00C05866">
        <w:rPr>
          <w:rFonts w:eastAsia="Times New Roman"/>
          <w:szCs w:val="20"/>
          <w:lang w:val="uk-UA" w:eastAsia="ru-RU"/>
        </w:rPr>
        <w:br w:type="page"/>
      </w:r>
      <w:bookmarkStart w:id="1" w:name="_GoBack"/>
      <w:bookmarkEnd w:id="1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E62"/>
    <w:rsid w:val="001F7B25"/>
    <w:rsid w:val="005E015E"/>
    <w:rsid w:val="00A45033"/>
    <w:rsid w:val="00B00C07"/>
    <w:rsid w:val="00BD08F3"/>
    <w:rsid w:val="00C05866"/>
    <w:rsid w:val="00E96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CE1302-6C5A-4244-9B4E-A0A1C0CB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638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2023-09-26T17:14:00Z</dcterms:created>
  <dcterms:modified xsi:type="dcterms:W3CDTF">2023-09-26T17:14:00Z</dcterms:modified>
</cp:coreProperties>
</file>